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69" w:rsidRDefault="00D06D69"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 Statistics—</w:t>
      </w:r>
      <w:r w:rsidRPr="00D06D69">
        <w:rPr>
          <w:rFonts w:ascii="TimesNewRomanPSMT" w:hAnsi="TimesNewRomanPSMT" w:cs="TimesNewRomanPSMT"/>
          <w:i/>
          <w:sz w:val="24"/>
          <w:szCs w:val="24"/>
        </w:rPr>
        <w:t>X</w:t>
      </w:r>
      <w:r w:rsidRPr="00D06D69">
        <w:rPr>
          <w:rFonts w:ascii="TimesNewRomanPSMT" w:hAnsi="TimesNewRomanPSMT" w:cs="TimesNewRomanPSMT"/>
          <w:i/>
          <w:sz w:val="24"/>
          <w:szCs w:val="24"/>
          <w:vertAlign w:val="superscript"/>
        </w:rPr>
        <w:t>2</w:t>
      </w:r>
      <w:r>
        <w:rPr>
          <w:rFonts w:ascii="TimesNewRomanPSMT" w:hAnsi="TimesNewRomanPSMT" w:cs="TimesNewRomanPSMT"/>
          <w:sz w:val="24"/>
          <w:szCs w:val="24"/>
        </w:rPr>
        <w:t xml:space="preserve"> Tests</w:t>
      </w:r>
      <w:r>
        <w:rPr>
          <w:rFonts w:ascii="TimesNewRomanPSMT" w:hAnsi="TimesNewRomanPSMT" w:cs="TimesNewRomanPSMT"/>
          <w:sz w:val="24"/>
          <w:szCs w:val="24"/>
        </w:rPr>
        <w:tab/>
        <w:t xml:space="preserve">      Name____________________________________________ </w:t>
      </w:r>
      <w:proofErr w:type="spellStart"/>
      <w:r>
        <w:rPr>
          <w:rFonts w:ascii="TimesNewRomanPSMT" w:hAnsi="TimesNewRomanPSMT" w:cs="TimesNewRomanPSMT"/>
          <w:sz w:val="24"/>
          <w:szCs w:val="24"/>
        </w:rPr>
        <w:t>Pd</w:t>
      </w:r>
      <w:proofErr w:type="spellEnd"/>
      <w:r>
        <w:rPr>
          <w:rFonts w:ascii="TimesNewRomanPSMT" w:hAnsi="TimesNewRomanPSMT" w:cs="TimesNewRomanPSMT"/>
          <w:sz w:val="24"/>
          <w:szCs w:val="24"/>
        </w:rPr>
        <w:t>____</w:t>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750836" w:rsidRDefault="00D06D69"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radio station trying to determine what kind of music to play takes a simple random sample of 50 students at each of three locations: a local middle school, a high school, and a college. The students are asked to choose which of three different music genres they most enjoy hearing on the radio. Here are the results:</w:t>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r>
        <w:rPr>
          <w:noProof/>
        </w:rPr>
        <w:drawing>
          <wp:inline distT="0" distB="0" distL="0" distR="0" wp14:anchorId="40554243" wp14:editId="3976FBF6">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4733" cy="1116432"/>
                    </a:xfrm>
                    <a:prstGeom prst="rect">
                      <a:avLst/>
                    </a:prstGeom>
                  </pic:spPr>
                </pic:pic>
              </a:graphicData>
            </a:graphic>
          </wp:inline>
        </w:drawing>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2259A1" w:rsidRDefault="002259A1"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 many samples (and populations) and how many categorical variables are involved in this situation?  Identify them.</w:t>
      </w:r>
    </w:p>
    <w:p w:rsidR="002259A1" w:rsidRDefault="002259A1" w:rsidP="002259A1">
      <w:pPr>
        <w:pStyle w:val="ListParagraph"/>
        <w:autoSpaceDE w:val="0"/>
        <w:autoSpaceDN w:val="0"/>
        <w:adjustRightInd w:val="0"/>
        <w:spacing w:after="0" w:line="240" w:lineRule="auto"/>
        <w:rPr>
          <w:rFonts w:ascii="TimesNewRomanPSMT" w:hAnsi="TimesNewRomanPSMT" w:cs="TimesNewRomanPSMT"/>
          <w:sz w:val="24"/>
          <w:szCs w:val="24"/>
        </w:rPr>
      </w:pPr>
    </w:p>
    <w:p w:rsidR="002259A1" w:rsidRDefault="002259A1" w:rsidP="002259A1">
      <w:pPr>
        <w:pStyle w:val="ListParagraph"/>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06D69">
        <w:rPr>
          <w:rFonts w:ascii="TimesNewRomanPSMT" w:hAnsi="TimesNewRomanPSMT" w:cs="TimesNewRomanPSMT"/>
          <w:sz w:val="24"/>
          <w:szCs w:val="24"/>
        </w:rPr>
        <w:t>Perform the appropriate statistical test to determine if there is a difference in the music</w:t>
      </w:r>
      <w:r>
        <w:rPr>
          <w:rFonts w:ascii="TimesNewRomanPSMT" w:hAnsi="TimesNewRomanPSMT" w:cs="TimesNewRomanPSMT"/>
          <w:sz w:val="24"/>
          <w:szCs w:val="24"/>
        </w:rPr>
        <w:t xml:space="preserve"> </w:t>
      </w:r>
      <w:r w:rsidRPr="00D06D69">
        <w:rPr>
          <w:rFonts w:ascii="TimesNewRomanPSMT" w:hAnsi="TimesNewRomanPSMT" w:cs="TimesNewRomanPSMT"/>
          <w:sz w:val="24"/>
          <w:szCs w:val="24"/>
        </w:rPr>
        <w:t>preference of these three age groups.</w:t>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P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06D69">
        <w:rPr>
          <w:rFonts w:ascii="TimesNewRomanPSMT" w:hAnsi="TimesNewRomanPSMT" w:cs="TimesNewRomanPSMT"/>
          <w:sz w:val="24"/>
          <w:szCs w:val="24"/>
        </w:rPr>
        <w:t xml:space="preserve">If you chose a chi-square </w:t>
      </w:r>
      <w:r w:rsidR="00BB32EC">
        <w:rPr>
          <w:rFonts w:ascii="TimesNewRomanPSMT" w:hAnsi="TimesNewRomanPSMT" w:cs="TimesNewRomanPSMT"/>
          <w:sz w:val="24"/>
          <w:szCs w:val="24"/>
        </w:rPr>
        <w:t>test for homogeneity in #1</w:t>
      </w:r>
      <w:r w:rsidRPr="00D06D69">
        <w:rPr>
          <w:rFonts w:ascii="TimesNewRomanPSMT" w:hAnsi="TimesNewRomanPSMT" w:cs="TimesNewRomanPSMT"/>
          <w:sz w:val="24"/>
          <w:szCs w:val="24"/>
        </w:rPr>
        <w:t>, explain how the data could have been</w:t>
      </w:r>
      <w:r>
        <w:rPr>
          <w:rFonts w:ascii="TimesNewRomanPSMT" w:hAnsi="TimesNewRomanPSMT" w:cs="TimesNewRomanPSMT"/>
          <w:sz w:val="24"/>
          <w:szCs w:val="24"/>
        </w:rPr>
        <w:t xml:space="preserve"> </w:t>
      </w:r>
      <w:r w:rsidRPr="00D06D69">
        <w:rPr>
          <w:rFonts w:ascii="TimesNewRomanPSMT" w:hAnsi="TimesNewRomanPSMT" w:cs="TimesNewRomanPSMT"/>
          <w:sz w:val="24"/>
          <w:szCs w:val="24"/>
        </w:rPr>
        <w:t>obtained to make a chi-square test for independence appropriate. If you chose a test for</w:t>
      </w:r>
      <w:r>
        <w:rPr>
          <w:rFonts w:ascii="TimesNewRomanPSMT" w:hAnsi="TimesNewRomanPSMT" w:cs="TimesNewRomanPSMT"/>
          <w:sz w:val="24"/>
          <w:szCs w:val="24"/>
        </w:rPr>
        <w:t xml:space="preserve"> </w:t>
      </w:r>
      <w:r w:rsidRPr="00D06D69">
        <w:rPr>
          <w:rFonts w:ascii="TimesNewRomanPSMT" w:hAnsi="TimesNewRomanPSMT" w:cs="TimesNewRomanPSMT"/>
          <w:sz w:val="24"/>
          <w:szCs w:val="24"/>
        </w:rPr>
        <w:t>independence, explain how the data could have been obtained to make a test for homogeneity appropriate.</w:t>
      </w:r>
    </w:p>
    <w:p w:rsidR="003C1B01" w:rsidRDefault="003C1B01" w:rsidP="003C1B01">
      <w:pPr>
        <w:autoSpaceDE w:val="0"/>
        <w:autoSpaceDN w:val="0"/>
        <w:adjustRightInd w:val="0"/>
        <w:spacing w:after="0" w:line="240" w:lineRule="auto"/>
        <w:rPr>
          <w:rFonts w:ascii="TimesNewRomanPSMT" w:hAnsi="TimesNewRomanPSMT" w:cs="TimesNewRomanPSMT"/>
          <w:sz w:val="24"/>
          <w:szCs w:val="24"/>
        </w:rPr>
      </w:pPr>
    </w:p>
    <w:p w:rsidR="003C1B01" w:rsidRDefault="003C1B01" w:rsidP="003C1B01">
      <w:pPr>
        <w:autoSpaceDE w:val="0"/>
        <w:autoSpaceDN w:val="0"/>
        <w:adjustRightInd w:val="0"/>
        <w:spacing w:after="0" w:line="240" w:lineRule="auto"/>
        <w:rPr>
          <w:rFonts w:ascii="TimesNewRomanPSMT" w:hAnsi="TimesNewRomanPSMT" w:cs="TimesNewRomanPSMT"/>
          <w:sz w:val="24"/>
          <w:szCs w:val="24"/>
        </w:rPr>
      </w:pPr>
    </w:p>
    <w:p w:rsidR="003C1B01" w:rsidRPr="003C1B01" w:rsidRDefault="003C1B01" w:rsidP="003C1B01">
      <w:pPr>
        <w:autoSpaceDE w:val="0"/>
        <w:autoSpaceDN w:val="0"/>
        <w:adjustRightInd w:val="0"/>
        <w:spacing w:after="0" w:line="240" w:lineRule="auto"/>
        <w:rPr>
          <w:rFonts w:ascii="TimesNewRomanPSMT" w:hAnsi="TimesNewRomanPSMT" w:cs="TimesNewRomanPSMT"/>
          <w:sz w:val="24"/>
          <w:szCs w:val="24"/>
        </w:rPr>
      </w:pPr>
    </w:p>
    <w:p w:rsidR="003C1B01" w:rsidRDefault="003C1B01"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For each situation, identify the number of populations and number of categorical variables, then state the appropriate test that would be used.</w:t>
      </w: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At a state university, the student population is approximately one-third male and two-thirds female.  Over a two-day period the gender of each student entering the student union is recorded, with the following results: males, 452; females, 1548.  Determine whether males and females are as likely to enter the union as would be predicted on the basis of their perce</w:t>
      </w:r>
      <w:r>
        <w:rPr>
          <w:rFonts w:ascii="Tahoma" w:hAnsi="Tahoma" w:cs="Tahoma"/>
        </w:rPr>
        <w:t>ntage in the student p</w:t>
      </w:r>
      <w:r w:rsidRPr="003C1B01">
        <w:rPr>
          <w:rFonts w:ascii="Tahoma" w:hAnsi="Tahoma" w:cs="Tahoma"/>
        </w:rPr>
        <w:t>opulation.</w:t>
      </w:r>
    </w:p>
    <w:p w:rsidR="003C1B01" w:rsidRDefault="003C1B01" w:rsidP="003C1B01">
      <w:pPr>
        <w:spacing w:after="0" w:line="240" w:lineRule="auto"/>
        <w:rPr>
          <w:rFonts w:ascii="Tahoma" w:hAnsi="Tahoma" w:cs="Tahoma"/>
        </w:rPr>
      </w:pPr>
    </w:p>
    <w:p w:rsidR="003C1B01" w:rsidRDefault="003C1B01" w:rsidP="003C1B01">
      <w:pPr>
        <w:spacing w:after="0" w:line="240" w:lineRule="auto"/>
        <w:rPr>
          <w:rFonts w:ascii="Tahoma" w:hAnsi="Tahoma" w:cs="Tahoma"/>
        </w:rPr>
      </w:pPr>
    </w:p>
    <w:p w:rsidR="003C1B01" w:rsidRDefault="003C1B01" w:rsidP="003C1B01">
      <w:pPr>
        <w:spacing w:after="0" w:line="240" w:lineRule="auto"/>
        <w:rPr>
          <w:rFonts w:ascii="Tahoma" w:hAnsi="Tahoma" w:cs="Tahoma"/>
        </w:rPr>
      </w:pPr>
    </w:p>
    <w:p w:rsidR="003C1B01" w:rsidRPr="003C1B01" w:rsidRDefault="003C1B01" w:rsidP="003C1B01">
      <w:pPr>
        <w:spacing w:after="0" w:line="240" w:lineRule="auto"/>
        <w:rPr>
          <w:rFonts w:ascii="Tahoma" w:hAnsi="Tahoma" w:cs="Tahoma"/>
        </w:rPr>
      </w:pP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A researcher is interested in whether or not a significant trend exists regarding the popularity of certain work shifts among police officers.  A random sample of 60 police officers is selected from a large metropolitan police force.  The officers are asked to indicate which of three work shifts they preferred.  The results show that 40 officers prefer the first shift, 10 prefer the second shift, and 10 prefer the third shift.  Do the results deviate significantly from what would be expected due to chance?</w:t>
      </w:r>
    </w:p>
    <w:p w:rsidR="003C1B01" w:rsidRPr="003C1B01" w:rsidRDefault="003C1B01" w:rsidP="003C1B01">
      <w:pPr>
        <w:pStyle w:val="ListParagraph"/>
        <w:spacing w:after="0" w:line="240" w:lineRule="auto"/>
        <w:rPr>
          <w:rFonts w:ascii="Tahoma" w:hAnsi="Tahoma" w:cs="Tahoma"/>
        </w:rPr>
      </w:pPr>
    </w:p>
    <w:p w:rsidR="003C1B01" w:rsidRDefault="003C1B01" w:rsidP="003C1B01">
      <w:pPr>
        <w:spacing w:after="0" w:line="240" w:lineRule="auto"/>
        <w:rPr>
          <w:rFonts w:ascii="Tahoma" w:hAnsi="Tahoma" w:cs="Tahoma"/>
        </w:rPr>
      </w:pPr>
    </w:p>
    <w:p w:rsidR="003C1B01" w:rsidRDefault="003C1B01" w:rsidP="003C1B01">
      <w:pPr>
        <w:spacing w:after="0" w:line="240" w:lineRule="auto"/>
        <w:rPr>
          <w:rFonts w:ascii="Tahoma" w:hAnsi="Tahoma" w:cs="Tahoma"/>
        </w:rPr>
      </w:pPr>
    </w:p>
    <w:p w:rsidR="003C1B01" w:rsidRDefault="003C1B01" w:rsidP="003C1B01">
      <w:pPr>
        <w:spacing w:after="0" w:line="240" w:lineRule="auto"/>
        <w:rPr>
          <w:rFonts w:ascii="Tahoma" w:hAnsi="Tahoma" w:cs="Tahoma"/>
        </w:rPr>
      </w:pPr>
    </w:p>
    <w:p w:rsidR="003C1B01" w:rsidRPr="003C1B01" w:rsidRDefault="003C1B01" w:rsidP="003C1B01">
      <w:pPr>
        <w:spacing w:after="0" w:line="240" w:lineRule="auto"/>
        <w:rPr>
          <w:rFonts w:ascii="Tahoma" w:hAnsi="Tahoma" w:cs="Tahoma"/>
        </w:rPr>
      </w:pP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A professor wants to determine whether her department should keep the requirement of college algebra as a prerequisite for an Introductory Statistics course.  Accordingly, she allows some students to register for the course on a pass-fail basis regardless of whether or not they have had the prerequisite.  Of the 70 students in the class, 40 have had algebra and 30 have not.  At the end of the semester, the professor compares the number of students passing or failing the class with whether or not they had algebra.  The results are in the table below.  Are students more likely to pass the course if they have taken college algebra?</w:t>
      </w:r>
    </w:p>
    <w:tbl>
      <w:tblPr>
        <w:tblStyle w:val="TableGrid"/>
        <w:tblW w:w="0" w:type="auto"/>
        <w:tblInd w:w="1638" w:type="dxa"/>
        <w:tblLook w:val="04A0" w:firstRow="1" w:lastRow="0" w:firstColumn="1" w:lastColumn="0" w:noHBand="0" w:noVBand="1"/>
      </w:tblPr>
      <w:tblGrid>
        <w:gridCol w:w="1620"/>
        <w:gridCol w:w="1488"/>
        <w:gridCol w:w="1488"/>
      </w:tblGrid>
      <w:tr w:rsidR="003C1B01" w:rsidTr="00285428">
        <w:trPr>
          <w:trHeight w:val="266"/>
        </w:trPr>
        <w:tc>
          <w:tcPr>
            <w:tcW w:w="1620" w:type="dxa"/>
          </w:tcPr>
          <w:p w:rsidR="003C1B01" w:rsidRDefault="003C1B01" w:rsidP="003C1B01">
            <w:pPr>
              <w:pStyle w:val="ListParagraph"/>
              <w:ind w:left="0"/>
              <w:rPr>
                <w:rFonts w:ascii="Tahoma" w:hAnsi="Tahoma" w:cs="Tahoma"/>
              </w:rPr>
            </w:pPr>
          </w:p>
        </w:tc>
        <w:tc>
          <w:tcPr>
            <w:tcW w:w="1488" w:type="dxa"/>
          </w:tcPr>
          <w:p w:rsidR="003C1B01" w:rsidRDefault="003C1B01" w:rsidP="003C1B01">
            <w:pPr>
              <w:pStyle w:val="ListParagraph"/>
              <w:ind w:left="0"/>
              <w:rPr>
                <w:rFonts w:ascii="Tahoma" w:hAnsi="Tahoma" w:cs="Tahoma"/>
              </w:rPr>
            </w:pPr>
            <w:r>
              <w:rPr>
                <w:rFonts w:ascii="Tahoma" w:hAnsi="Tahoma" w:cs="Tahoma"/>
              </w:rPr>
              <w:t>Pass</w:t>
            </w:r>
          </w:p>
        </w:tc>
        <w:tc>
          <w:tcPr>
            <w:tcW w:w="1488" w:type="dxa"/>
          </w:tcPr>
          <w:p w:rsidR="003C1B01" w:rsidRDefault="003C1B01" w:rsidP="003C1B01">
            <w:pPr>
              <w:pStyle w:val="ListParagraph"/>
              <w:ind w:left="0"/>
              <w:rPr>
                <w:rFonts w:ascii="Tahoma" w:hAnsi="Tahoma" w:cs="Tahoma"/>
              </w:rPr>
            </w:pPr>
            <w:r>
              <w:rPr>
                <w:rFonts w:ascii="Tahoma" w:hAnsi="Tahoma" w:cs="Tahoma"/>
              </w:rPr>
              <w:t>Fail</w:t>
            </w:r>
          </w:p>
        </w:tc>
      </w:tr>
      <w:tr w:rsidR="003C1B01" w:rsidTr="00285428">
        <w:trPr>
          <w:trHeight w:val="266"/>
        </w:trPr>
        <w:tc>
          <w:tcPr>
            <w:tcW w:w="1620" w:type="dxa"/>
          </w:tcPr>
          <w:p w:rsidR="003C1B01" w:rsidRDefault="003C1B01" w:rsidP="003C1B01">
            <w:pPr>
              <w:pStyle w:val="ListParagraph"/>
              <w:ind w:left="0"/>
              <w:rPr>
                <w:rFonts w:ascii="Tahoma" w:hAnsi="Tahoma" w:cs="Tahoma"/>
              </w:rPr>
            </w:pPr>
            <w:r>
              <w:rPr>
                <w:rFonts w:ascii="Tahoma" w:hAnsi="Tahoma" w:cs="Tahoma"/>
              </w:rPr>
              <w:t>Algebra</w:t>
            </w:r>
          </w:p>
        </w:tc>
        <w:tc>
          <w:tcPr>
            <w:tcW w:w="1488" w:type="dxa"/>
          </w:tcPr>
          <w:p w:rsidR="003C1B01" w:rsidRDefault="003C1B01" w:rsidP="003C1B01">
            <w:pPr>
              <w:pStyle w:val="ListParagraph"/>
              <w:ind w:left="0"/>
              <w:rPr>
                <w:rFonts w:ascii="Tahoma" w:hAnsi="Tahoma" w:cs="Tahoma"/>
              </w:rPr>
            </w:pPr>
            <w:r>
              <w:rPr>
                <w:rFonts w:ascii="Tahoma" w:hAnsi="Tahoma" w:cs="Tahoma"/>
              </w:rPr>
              <w:t>34</w:t>
            </w:r>
          </w:p>
        </w:tc>
        <w:tc>
          <w:tcPr>
            <w:tcW w:w="1488" w:type="dxa"/>
          </w:tcPr>
          <w:p w:rsidR="003C1B01" w:rsidRDefault="003C1B01" w:rsidP="003C1B01">
            <w:pPr>
              <w:pStyle w:val="ListParagraph"/>
              <w:ind w:left="0"/>
              <w:rPr>
                <w:rFonts w:ascii="Tahoma" w:hAnsi="Tahoma" w:cs="Tahoma"/>
              </w:rPr>
            </w:pPr>
            <w:r>
              <w:rPr>
                <w:rFonts w:ascii="Tahoma" w:hAnsi="Tahoma" w:cs="Tahoma"/>
              </w:rPr>
              <w:t>6</w:t>
            </w:r>
          </w:p>
        </w:tc>
      </w:tr>
      <w:tr w:rsidR="003C1B01" w:rsidTr="00285428">
        <w:trPr>
          <w:trHeight w:val="266"/>
        </w:trPr>
        <w:tc>
          <w:tcPr>
            <w:tcW w:w="1620" w:type="dxa"/>
          </w:tcPr>
          <w:p w:rsidR="003C1B01" w:rsidRDefault="003C1B01" w:rsidP="003C1B01">
            <w:pPr>
              <w:pStyle w:val="ListParagraph"/>
              <w:ind w:left="0"/>
              <w:rPr>
                <w:rFonts w:ascii="Tahoma" w:hAnsi="Tahoma" w:cs="Tahoma"/>
              </w:rPr>
            </w:pPr>
            <w:r>
              <w:rPr>
                <w:rFonts w:ascii="Tahoma" w:hAnsi="Tahoma" w:cs="Tahoma"/>
              </w:rPr>
              <w:t>No Algebra</w:t>
            </w:r>
          </w:p>
        </w:tc>
        <w:tc>
          <w:tcPr>
            <w:tcW w:w="1488" w:type="dxa"/>
          </w:tcPr>
          <w:p w:rsidR="003C1B01" w:rsidRDefault="003C1B01" w:rsidP="003C1B01">
            <w:pPr>
              <w:pStyle w:val="ListParagraph"/>
              <w:ind w:left="0"/>
              <w:rPr>
                <w:rFonts w:ascii="Tahoma" w:hAnsi="Tahoma" w:cs="Tahoma"/>
              </w:rPr>
            </w:pPr>
            <w:r>
              <w:rPr>
                <w:rFonts w:ascii="Tahoma" w:hAnsi="Tahoma" w:cs="Tahoma"/>
              </w:rPr>
              <w:t>12</w:t>
            </w:r>
          </w:p>
        </w:tc>
        <w:tc>
          <w:tcPr>
            <w:tcW w:w="1488" w:type="dxa"/>
          </w:tcPr>
          <w:p w:rsidR="003C1B01" w:rsidRDefault="003C1B01" w:rsidP="003C1B01">
            <w:pPr>
              <w:pStyle w:val="ListParagraph"/>
              <w:ind w:left="0"/>
              <w:rPr>
                <w:rFonts w:ascii="Tahoma" w:hAnsi="Tahoma" w:cs="Tahoma"/>
              </w:rPr>
            </w:pPr>
            <w:r>
              <w:rPr>
                <w:rFonts w:ascii="Tahoma" w:hAnsi="Tahoma" w:cs="Tahoma"/>
              </w:rPr>
              <w:t>18</w:t>
            </w:r>
          </w:p>
        </w:tc>
      </w:tr>
    </w:tbl>
    <w:p w:rsidR="003C1B01" w:rsidRDefault="003C1B01" w:rsidP="003C1B01">
      <w:pPr>
        <w:pStyle w:val="ListParagraph"/>
        <w:spacing w:after="0" w:line="240" w:lineRule="auto"/>
        <w:ind w:left="1440"/>
        <w:rPr>
          <w:rFonts w:ascii="Tahoma" w:hAnsi="Tahoma" w:cs="Tahoma"/>
        </w:rPr>
      </w:pPr>
    </w:p>
    <w:p w:rsidR="003C1B01" w:rsidRDefault="003C1B01" w:rsidP="003C1B01">
      <w:pPr>
        <w:pStyle w:val="ListParagraph"/>
        <w:spacing w:after="0" w:line="240" w:lineRule="auto"/>
        <w:ind w:left="1440"/>
        <w:rPr>
          <w:rFonts w:ascii="Tahoma" w:hAnsi="Tahoma" w:cs="Tahoma"/>
        </w:rPr>
      </w:pPr>
    </w:p>
    <w:p w:rsidR="003C1B01" w:rsidRDefault="003C1B01" w:rsidP="003C1B01">
      <w:pPr>
        <w:pStyle w:val="ListParagraph"/>
        <w:spacing w:after="0" w:line="240" w:lineRule="auto"/>
        <w:ind w:left="1440"/>
        <w:rPr>
          <w:rFonts w:ascii="Tahoma" w:hAnsi="Tahoma" w:cs="Tahoma"/>
        </w:rPr>
      </w:pPr>
    </w:p>
    <w:p w:rsidR="003C1B01" w:rsidRDefault="003C1B01" w:rsidP="003C1B01">
      <w:pPr>
        <w:pStyle w:val="ListParagraph"/>
        <w:spacing w:after="0" w:line="240" w:lineRule="auto"/>
        <w:ind w:left="1440"/>
        <w:rPr>
          <w:rFonts w:ascii="Tahoma" w:hAnsi="Tahoma" w:cs="Tahoma"/>
        </w:rPr>
      </w:pPr>
    </w:p>
    <w:p w:rsidR="003C1B01" w:rsidRDefault="003C1B01" w:rsidP="003C1B01">
      <w:pPr>
        <w:pStyle w:val="ListParagraph"/>
        <w:spacing w:after="0" w:line="240" w:lineRule="auto"/>
        <w:ind w:left="1440"/>
        <w:rPr>
          <w:rFonts w:ascii="Tahoma" w:hAnsi="Tahoma" w:cs="Tahoma"/>
        </w:rPr>
      </w:pPr>
      <w:bookmarkStart w:id="0" w:name="_GoBack"/>
      <w:bookmarkEnd w:id="0"/>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 xml:space="preserve">In a study of high-achieving high school graduates, the researchers surveyed 828 high school graduates who were considered “academic superstars” and 433 graduates who were considered “solid performers.”  One question on the survey asked the distance from their home to the college they attended. Assuming it is reasonable to regard these two samples as random sample of academic superstars and solid performers nationwide, use the accompanying data to determine if it is reasonable to conclude that the distribution of responses over the distance from home categories is not the same for academic superstars and solid performers.  </w:t>
      </w:r>
    </w:p>
    <w:tbl>
      <w:tblPr>
        <w:tblStyle w:val="TableGrid"/>
        <w:tblW w:w="9486" w:type="dxa"/>
        <w:tblInd w:w="1315" w:type="dxa"/>
        <w:tblLook w:val="04A0" w:firstRow="1" w:lastRow="0" w:firstColumn="1" w:lastColumn="0" w:noHBand="0" w:noVBand="1"/>
      </w:tblPr>
      <w:tblGrid>
        <w:gridCol w:w="1650"/>
        <w:gridCol w:w="1571"/>
        <w:gridCol w:w="1562"/>
        <w:gridCol w:w="1562"/>
        <w:gridCol w:w="1562"/>
        <w:gridCol w:w="1579"/>
      </w:tblGrid>
      <w:tr w:rsidR="003C1B01" w:rsidTr="003C1B01">
        <w:tc>
          <w:tcPr>
            <w:tcW w:w="1650" w:type="dxa"/>
          </w:tcPr>
          <w:p w:rsidR="003C1B01" w:rsidRDefault="003C1B01" w:rsidP="003C1B01">
            <w:pPr>
              <w:pStyle w:val="ListParagraph"/>
              <w:ind w:left="0"/>
              <w:rPr>
                <w:rFonts w:ascii="Tahoma" w:hAnsi="Tahoma" w:cs="Tahoma"/>
              </w:rPr>
            </w:pPr>
          </w:p>
        </w:tc>
        <w:tc>
          <w:tcPr>
            <w:tcW w:w="7836" w:type="dxa"/>
            <w:gridSpan w:val="5"/>
          </w:tcPr>
          <w:p w:rsidR="003C1B01" w:rsidRDefault="003C1B01" w:rsidP="003C1B01">
            <w:pPr>
              <w:pStyle w:val="ListParagraph"/>
              <w:ind w:left="0"/>
              <w:jc w:val="center"/>
              <w:rPr>
                <w:rFonts w:ascii="Tahoma" w:hAnsi="Tahoma" w:cs="Tahoma"/>
              </w:rPr>
            </w:pPr>
            <w:r>
              <w:rPr>
                <w:rFonts w:ascii="Tahoma" w:hAnsi="Tahoma" w:cs="Tahoma"/>
              </w:rPr>
              <w:t>Distance of College from Home (in miles)</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Student Group</w:t>
            </w:r>
          </w:p>
        </w:tc>
        <w:tc>
          <w:tcPr>
            <w:tcW w:w="1571" w:type="dxa"/>
          </w:tcPr>
          <w:p w:rsidR="003C1B01" w:rsidRDefault="003C1B01" w:rsidP="003C1B01">
            <w:pPr>
              <w:pStyle w:val="ListParagraph"/>
              <w:ind w:left="0"/>
              <w:rPr>
                <w:rFonts w:ascii="Tahoma" w:hAnsi="Tahoma" w:cs="Tahoma"/>
              </w:rPr>
            </w:pPr>
            <w:r>
              <w:rPr>
                <w:rFonts w:ascii="Tahoma" w:hAnsi="Tahoma" w:cs="Tahoma"/>
              </w:rPr>
              <w:t>Less than 40</w:t>
            </w:r>
          </w:p>
        </w:tc>
        <w:tc>
          <w:tcPr>
            <w:tcW w:w="1562" w:type="dxa"/>
          </w:tcPr>
          <w:p w:rsidR="003C1B01" w:rsidRDefault="003C1B01" w:rsidP="003C1B01">
            <w:pPr>
              <w:pStyle w:val="ListParagraph"/>
              <w:ind w:left="0"/>
              <w:rPr>
                <w:rFonts w:ascii="Tahoma" w:hAnsi="Tahoma" w:cs="Tahoma"/>
              </w:rPr>
            </w:pPr>
            <w:r>
              <w:rPr>
                <w:rFonts w:ascii="Tahoma" w:hAnsi="Tahoma" w:cs="Tahoma"/>
              </w:rPr>
              <w:t>40 to 99</w:t>
            </w:r>
          </w:p>
        </w:tc>
        <w:tc>
          <w:tcPr>
            <w:tcW w:w="1562" w:type="dxa"/>
          </w:tcPr>
          <w:p w:rsidR="003C1B01" w:rsidRDefault="003C1B01" w:rsidP="003C1B01">
            <w:pPr>
              <w:pStyle w:val="ListParagraph"/>
              <w:ind w:left="0"/>
              <w:rPr>
                <w:rFonts w:ascii="Tahoma" w:hAnsi="Tahoma" w:cs="Tahoma"/>
              </w:rPr>
            </w:pPr>
            <w:r>
              <w:rPr>
                <w:rFonts w:ascii="Tahoma" w:hAnsi="Tahoma" w:cs="Tahoma"/>
              </w:rPr>
              <w:t>100 to 199</w:t>
            </w:r>
          </w:p>
        </w:tc>
        <w:tc>
          <w:tcPr>
            <w:tcW w:w="1562" w:type="dxa"/>
          </w:tcPr>
          <w:p w:rsidR="003C1B01" w:rsidRDefault="003C1B01" w:rsidP="003C1B01">
            <w:pPr>
              <w:pStyle w:val="ListParagraph"/>
              <w:ind w:left="0"/>
              <w:rPr>
                <w:rFonts w:ascii="Tahoma" w:hAnsi="Tahoma" w:cs="Tahoma"/>
              </w:rPr>
            </w:pPr>
            <w:r>
              <w:rPr>
                <w:rFonts w:ascii="Tahoma" w:hAnsi="Tahoma" w:cs="Tahoma"/>
              </w:rPr>
              <w:t>200 to 399</w:t>
            </w:r>
          </w:p>
        </w:tc>
        <w:tc>
          <w:tcPr>
            <w:tcW w:w="1579" w:type="dxa"/>
          </w:tcPr>
          <w:p w:rsidR="003C1B01" w:rsidRDefault="003C1B01" w:rsidP="003C1B01">
            <w:pPr>
              <w:pStyle w:val="ListParagraph"/>
              <w:ind w:left="0"/>
              <w:rPr>
                <w:rFonts w:ascii="Tahoma" w:hAnsi="Tahoma" w:cs="Tahoma"/>
              </w:rPr>
            </w:pPr>
            <w:r>
              <w:rPr>
                <w:rFonts w:ascii="Tahoma" w:hAnsi="Tahoma" w:cs="Tahoma"/>
              </w:rPr>
              <w:t>400 or more</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Academic Superstars</w:t>
            </w:r>
          </w:p>
        </w:tc>
        <w:tc>
          <w:tcPr>
            <w:tcW w:w="1571" w:type="dxa"/>
            <w:vAlign w:val="center"/>
          </w:tcPr>
          <w:p w:rsidR="003C1B01" w:rsidRDefault="003C1B01" w:rsidP="003C1B01">
            <w:pPr>
              <w:pStyle w:val="ListParagraph"/>
              <w:ind w:left="0"/>
              <w:jc w:val="center"/>
              <w:rPr>
                <w:rFonts w:ascii="Tahoma" w:hAnsi="Tahoma" w:cs="Tahoma"/>
              </w:rPr>
            </w:pPr>
            <w:r>
              <w:rPr>
                <w:rFonts w:ascii="Tahoma" w:hAnsi="Tahoma" w:cs="Tahoma"/>
              </w:rPr>
              <w:t>157</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157</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141</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149</w:t>
            </w:r>
          </w:p>
        </w:tc>
        <w:tc>
          <w:tcPr>
            <w:tcW w:w="1579" w:type="dxa"/>
            <w:vAlign w:val="center"/>
          </w:tcPr>
          <w:p w:rsidR="003C1B01" w:rsidRDefault="003C1B01" w:rsidP="003C1B01">
            <w:pPr>
              <w:pStyle w:val="ListParagraph"/>
              <w:ind w:left="0"/>
              <w:jc w:val="center"/>
              <w:rPr>
                <w:rFonts w:ascii="Tahoma" w:hAnsi="Tahoma" w:cs="Tahoma"/>
              </w:rPr>
            </w:pPr>
            <w:r>
              <w:rPr>
                <w:rFonts w:ascii="Tahoma" w:hAnsi="Tahoma" w:cs="Tahoma"/>
              </w:rPr>
              <w:t>224</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Solid Performers</w:t>
            </w:r>
          </w:p>
        </w:tc>
        <w:tc>
          <w:tcPr>
            <w:tcW w:w="1571" w:type="dxa"/>
            <w:vAlign w:val="center"/>
          </w:tcPr>
          <w:p w:rsidR="003C1B01" w:rsidRDefault="003C1B01" w:rsidP="003C1B01">
            <w:pPr>
              <w:pStyle w:val="ListParagraph"/>
              <w:ind w:left="0"/>
              <w:jc w:val="center"/>
              <w:rPr>
                <w:rFonts w:ascii="Tahoma" w:hAnsi="Tahoma" w:cs="Tahoma"/>
              </w:rPr>
            </w:pPr>
            <w:r>
              <w:rPr>
                <w:rFonts w:ascii="Tahoma" w:hAnsi="Tahoma" w:cs="Tahoma"/>
              </w:rPr>
              <w:t>104</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95</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82</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65</w:t>
            </w:r>
          </w:p>
        </w:tc>
        <w:tc>
          <w:tcPr>
            <w:tcW w:w="1579" w:type="dxa"/>
            <w:vAlign w:val="center"/>
          </w:tcPr>
          <w:p w:rsidR="003C1B01" w:rsidRDefault="003C1B01" w:rsidP="003C1B01">
            <w:pPr>
              <w:pStyle w:val="ListParagraph"/>
              <w:ind w:left="0"/>
              <w:jc w:val="center"/>
              <w:rPr>
                <w:rFonts w:ascii="Tahoma" w:hAnsi="Tahoma" w:cs="Tahoma"/>
              </w:rPr>
            </w:pPr>
            <w:r>
              <w:rPr>
                <w:rFonts w:ascii="Tahoma" w:hAnsi="Tahoma" w:cs="Tahoma"/>
              </w:rPr>
              <w:t>87</w:t>
            </w:r>
          </w:p>
        </w:tc>
      </w:tr>
    </w:tbl>
    <w:p w:rsidR="003C1B01" w:rsidRPr="003C1B01" w:rsidRDefault="003C1B01" w:rsidP="003C1B01">
      <w:pPr>
        <w:spacing w:after="200" w:line="276" w:lineRule="auto"/>
        <w:rPr>
          <w:rFonts w:ascii="Tahoma" w:hAnsi="Tahoma" w:cs="Tahoma"/>
        </w:rPr>
      </w:pPr>
    </w:p>
    <w:sectPr w:rsidR="003C1B01" w:rsidRPr="003C1B01" w:rsidSect="00D06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6203"/>
    <w:multiLevelType w:val="hybridMultilevel"/>
    <w:tmpl w:val="92789FFE"/>
    <w:lvl w:ilvl="0" w:tplc="C96A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AC18DF"/>
    <w:multiLevelType w:val="hybridMultilevel"/>
    <w:tmpl w:val="D8B2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B21EC"/>
    <w:multiLevelType w:val="hybridMultilevel"/>
    <w:tmpl w:val="ABE88A9A"/>
    <w:lvl w:ilvl="0" w:tplc="C0EA8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554E8D"/>
    <w:multiLevelType w:val="hybridMultilevel"/>
    <w:tmpl w:val="D8B2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570FC"/>
    <w:multiLevelType w:val="hybridMultilevel"/>
    <w:tmpl w:val="940E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F2216"/>
    <w:multiLevelType w:val="hybridMultilevel"/>
    <w:tmpl w:val="D1CAD000"/>
    <w:lvl w:ilvl="0" w:tplc="C96A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69"/>
    <w:rsid w:val="002259A1"/>
    <w:rsid w:val="003C1B01"/>
    <w:rsid w:val="00750836"/>
    <w:rsid w:val="00BB32EC"/>
    <w:rsid w:val="00CB44F6"/>
    <w:rsid w:val="00D0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1AA4-CDE6-4F18-B226-20CAC4C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69"/>
    <w:pPr>
      <w:ind w:left="720"/>
      <w:contextualSpacing/>
    </w:pPr>
  </w:style>
  <w:style w:type="table" w:styleId="TableGrid">
    <w:name w:val="Table Grid"/>
    <w:basedOn w:val="TableNormal"/>
    <w:uiPriority w:val="59"/>
    <w:rsid w:val="003C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Dorothy</dc:creator>
  <cp:keywords/>
  <dc:description/>
  <cp:lastModifiedBy>Davis, Dorothy</cp:lastModifiedBy>
  <cp:revision>2</cp:revision>
  <cp:lastPrinted>2017-04-20T14:01:00Z</cp:lastPrinted>
  <dcterms:created xsi:type="dcterms:W3CDTF">2017-04-20T22:18:00Z</dcterms:created>
  <dcterms:modified xsi:type="dcterms:W3CDTF">2017-04-20T22:18:00Z</dcterms:modified>
</cp:coreProperties>
</file>